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C9" w:rsidRPr="002755C9" w:rsidRDefault="002755C9" w:rsidP="002755C9">
      <w:pPr>
        <w:ind w:hanging="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55C9">
        <w:rPr>
          <w:rFonts w:ascii="Times New Roman" w:hAnsi="Times New Roman" w:cs="Times New Roman"/>
          <w:b/>
          <w:sz w:val="24"/>
          <w:szCs w:val="28"/>
        </w:rPr>
        <w:t>МУНИЦИПАЛЬНОЕ АВТОНОМНОЕ ОБЩЕОБРАЗОВАТЕЛЬНОЕ УЧРЕЖДЕНИЕ</w:t>
      </w:r>
    </w:p>
    <w:p w:rsidR="002755C9" w:rsidRPr="002755C9" w:rsidRDefault="002755C9" w:rsidP="002755C9">
      <w:pPr>
        <w:ind w:hanging="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55C9">
        <w:rPr>
          <w:rFonts w:ascii="Times New Roman" w:hAnsi="Times New Roman" w:cs="Times New Roman"/>
          <w:b/>
          <w:sz w:val="24"/>
          <w:szCs w:val="28"/>
        </w:rPr>
        <w:t xml:space="preserve"> «БАЙКАЛОВСКАЯ СРЕДНЯЯ ОБЩЕОБРАЗОВАТЕЛЬНАЯ ШКОЛА»</w:t>
      </w:r>
    </w:p>
    <w:p w:rsidR="002755C9" w:rsidRPr="002755C9" w:rsidRDefault="002755C9" w:rsidP="002755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2755C9" w:rsidRP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2755C9">
        <w:rPr>
          <w:rFonts w:ascii="Times New Roman" w:hAnsi="Times New Roman" w:cs="Times New Roman"/>
          <w:w w:val="105"/>
          <w:sz w:val="28"/>
          <w:szCs w:val="28"/>
        </w:rPr>
        <w:t>Муниципальные Педагогические чтения</w:t>
      </w:r>
    </w:p>
    <w:p w:rsidR="002755C9" w:rsidRP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2755C9">
        <w:rPr>
          <w:rFonts w:ascii="Times New Roman" w:hAnsi="Times New Roman" w:cs="Times New Roman"/>
          <w:sz w:val="28"/>
          <w:szCs w:val="28"/>
        </w:rPr>
        <w:t>Тема:</w:t>
      </w:r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«Педагогические</w:t>
      </w:r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технологии</w:t>
      </w:r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как</w:t>
      </w:r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6E4B" w:rsidRPr="002755C9">
        <w:rPr>
          <w:rFonts w:ascii="Times New Roman" w:hAnsi="Times New Roman" w:cs="Times New Roman"/>
          <w:sz w:val="28"/>
          <w:szCs w:val="28"/>
        </w:rPr>
        <w:t>ресурс</w:t>
      </w:r>
      <w:bookmarkStart w:id="0" w:name="_GoBack"/>
      <w:bookmarkEnd w:id="0"/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755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755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процесса</w:t>
      </w:r>
      <w:r w:rsidRPr="002755C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в</w:t>
      </w:r>
      <w:r w:rsidRPr="002755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условиях</w:t>
      </w:r>
      <w:r w:rsidRPr="002755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755C9">
        <w:rPr>
          <w:rFonts w:ascii="Times New Roman" w:hAnsi="Times New Roman" w:cs="Times New Roman"/>
          <w:sz w:val="28"/>
          <w:szCs w:val="28"/>
        </w:rPr>
        <w:t>ФГОС»</w:t>
      </w:r>
    </w:p>
    <w:p w:rsidR="002755C9" w:rsidRPr="002755C9" w:rsidRDefault="002755C9" w:rsidP="002755C9">
      <w:pPr>
        <w:pStyle w:val="a8"/>
        <w:spacing w:line="360" w:lineRule="auto"/>
        <w:ind w:left="1" w:hanging="3"/>
        <w:rPr>
          <w:rFonts w:ascii="Times New Roman" w:hAnsi="Times New Roman" w:cs="Times New Roman"/>
          <w:b/>
          <w:sz w:val="28"/>
          <w:szCs w:val="28"/>
        </w:rPr>
      </w:pPr>
    </w:p>
    <w:p w:rsidR="002755C9" w:rsidRPr="002755C9" w:rsidRDefault="002755C9" w:rsidP="002755C9">
      <w:pPr>
        <w:pStyle w:val="a8"/>
        <w:spacing w:line="360" w:lineRule="auto"/>
        <w:ind w:left="1" w:hanging="3"/>
        <w:rPr>
          <w:rFonts w:ascii="Times New Roman" w:hAnsi="Times New Roman" w:cs="Times New Roman"/>
          <w:b/>
          <w:sz w:val="28"/>
          <w:szCs w:val="28"/>
        </w:rPr>
      </w:pPr>
    </w:p>
    <w:p w:rsidR="002755C9" w:rsidRP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C9"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2755C9" w:rsidRPr="002755C9" w:rsidRDefault="002755C9" w:rsidP="002755C9">
      <w:pPr>
        <w:pStyle w:val="a8"/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Технология </w:t>
      </w: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ru-RU"/>
        </w:rPr>
        <w:t>Open</w:t>
      </w: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ru-RU"/>
        </w:rPr>
        <w:t>Space</w:t>
      </w: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как интерактивный формат</w:t>
      </w:r>
    </w:p>
    <w:p w:rsidR="002755C9" w:rsidRPr="002755C9" w:rsidRDefault="002755C9" w:rsidP="002755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нового поколения для проведения методических мероприятий</w:t>
      </w:r>
    </w:p>
    <w:p w:rsidR="00FA0BD6" w:rsidRDefault="00FA0BD6" w:rsidP="005E3839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55C9" w:rsidRPr="002755C9" w:rsidRDefault="002755C9" w:rsidP="005E3839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Минина Светлана Анатольевна, </w:t>
      </w:r>
    </w:p>
    <w:p w:rsidR="002755C9" w:rsidRPr="002755C9" w:rsidRDefault="002755C9" w:rsidP="005E3839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методист школы</w:t>
      </w:r>
    </w:p>
    <w:p w:rsidR="002755C9" w:rsidRPr="002755C9" w:rsidRDefault="002755C9" w:rsidP="002755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Краткая аннотация</w:t>
      </w:r>
    </w:p>
    <w:p w:rsidR="002755C9" w:rsidRPr="002755C9" w:rsidRDefault="002755C9" w:rsidP="002755C9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школой в большей степени зависят от уровня «включенности» каждого педагога, его способности позитивно реагировать на перемены. Организация мероприятий в интерактивном формате нового поколения является продуктивным способом получения от коллектива помощи и идей в формировании долгосрочного направления развития и стратегического планирования.</w:t>
      </w:r>
    </w:p>
    <w:p w:rsidR="00A84730" w:rsidRPr="005E3839" w:rsidRDefault="00A84730" w:rsidP="002755C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Технология </w:t>
      </w: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Open</w:t>
      </w: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Space</w:t>
      </w: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как интерактивный формат нового поколения для проведения </w:t>
      </w:r>
      <w:r w:rsidR="002755C9"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методических </w:t>
      </w:r>
      <w:r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</w:t>
      </w:r>
      <w:r w:rsidR="002755C9" w:rsidRPr="005E3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Всем знакомы заседания с чередой долгих вступлений? Утомительно? - Да. Эффективно? – Не всегда.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В нашем динамично меняющемся мире с огромным потоком информации требуется и другая система взаимодействия,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коллаборации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внутри педагогического коллектива. «Совместное потребление» (или «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sharing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economy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») — новый мировой тренд или способ выстраивания совершенно другой формы педагогического взаимодействия. 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Такие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sharing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-мероприятия основаны на эффективном взаимодействии, общении между участниками, обмене мнениями. Подобные мероприятия вошли в практику методической работы в нашей школе, разнообразив формат методических семинаров для педагогов.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Техники дискуссионных «аквариумов», «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неконференций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»,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нетворкинг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-сессий,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коучинги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, технология «открытого пространства,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Pecha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Kucha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и многое другое — образцы для организации обучения через эффективное взаимодействие участников мероприятия.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Считаю, что управленческая команда школы, заинтересованная в эффективной работе своего коллектива, должна понимать, что именно кадры определяют успех организации. Эффективное управление школой в большей степени зависят от уровня «включенности» каждого педагога, его способности позитивно реагировать на происходящие перемены, проявлять инициативу и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выдвизать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идеи. Современный подход к управлению требует вовлеченности всего коллектива в процесс перемен, запроса мнения относительно изменений в собственной деятельности в сторону улучшения и успешности организации в целом.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lastRenderedPageBreak/>
        <w:t xml:space="preserve">Таким образом одной из главных задач управленческой команды школы становиться организация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sharing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-мероприятий как продуктивного способа получения от коллектива обратной связи в формировании долгосрочного направления развития и стратегического планирования.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Технология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Open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Space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стала для меня как методиста находкой для проведения проблемных семинаров, педсоветов и практикумов, позволяя каждому педагогу свободно выразить свои идеи. При такой форме организации групповой работы ответственность за ход, содержание и результаты процесса разделяется между всеми участниками, что позволяет группе следовать за своей энергией и приводит к ее самоорганизации, выявлению настоящих интересов участников, объединению единомышленников, выделению лидеров.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Использование этой технологии способствует освобождению творческой энергии и позволяет вырабатывать продуктивные решения сложных проблем, кажущихся первоначально неразрешимыми. На встречах, мероприятиях и в организациях, использующих ТОП, участники сами создают и реализуют свои планы работы, работая параллельно по вопросам, возникающим вокруг центральной темы стратегической важности. Здесь каждый имеет право включить в программу любую тему и взять на себя ответственность за ее обсуждение, что позволяет вынести на обсуждение все, что волнует участников и прежде оставалось невысказанным.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Задачи, решаемые с помощью ТОП: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Выделить важнейшие проблемы в рамках заданной темы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Сформировать банк идей по заданным проблемам для дальнейшего воплощения в жизнь.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Услышать и зафиксировать точки зрения всех заинтересованных сторон по поводу важных для них и организации проблем.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Выделить самые перспективные и первоочередные к реализации решения.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Вдохновить участников на реализацию выработанных решений.</w:t>
      </w:r>
    </w:p>
    <w:p w:rsidR="005B4AD5" w:rsidRPr="0083692E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lastRenderedPageBreak/>
        <w:t>Помочь участникам принять ответственность за внедрение предложенных решений.</w:t>
      </w:r>
    </w:p>
    <w:p w:rsidR="005B4AD5" w:rsidRPr="0083692E" w:rsidRDefault="0083692E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="005B4AD5" w:rsidRPr="0083692E">
        <w:rPr>
          <w:rFonts w:ascii="Times New Roman" w:hAnsi="Times New Roman" w:cs="Times New Roman"/>
          <w:sz w:val="28"/>
          <w:lang w:eastAsia="ru-RU"/>
        </w:rPr>
        <w:t>азвить коммуникативные навыки участников.</w:t>
      </w:r>
    </w:p>
    <w:p w:rsidR="005B4AD5" w:rsidRDefault="005B4AD5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83692E">
        <w:rPr>
          <w:rFonts w:ascii="Times New Roman" w:hAnsi="Times New Roman" w:cs="Times New Roman"/>
          <w:sz w:val="28"/>
          <w:lang w:eastAsia="ru-RU"/>
        </w:rPr>
        <w:t>Создать эффект командообразования.</w:t>
      </w:r>
    </w:p>
    <w:p w:rsidR="0083692E" w:rsidRPr="0083692E" w:rsidRDefault="0083692E" w:rsidP="0083692E">
      <w:pPr>
        <w:pStyle w:val="a8"/>
        <w:spacing w:line="360" w:lineRule="auto"/>
        <w:ind w:firstLine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При ТОП создаются условия для проявления способностей человека к самоорганизации.</w:t>
      </w:r>
      <w:r w:rsidR="0083692E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Достигается это за счет четырех принципов и одного закона.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1. Кто бы ни пришел – это правильные люди.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2. Что бы ни случилось – это единственное, что и могло произойти.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3. Когда бы процесс ни начался – это правильное время.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4. Когда процесс заканчивается – он заканчивается.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5. Закон Двух </w:t>
      </w:r>
      <w:r w:rsidR="00954FEF"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Ног.</w:t>
      </w: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Это означает, что участники берут на себя ответственность за то, что с ними происходит во время семинара, используя свои ноги для того, чтобы переместиться туда, где смогут сделать вклад в общее дело или обучиться важным для себя вещам.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В начале семинара участники вовлекаются в интенсивные дискуссии по заявленным темам, далее готовят отчеты о результатах дискуссий, последующая работа позволяет участникам расставить все приоритеты по имеющимся вопросам, систематизировать и объединить все связанные между собой вопросы, а также провести работу по составлению планов действий. Рабочие группы создают свой ритм работы, начинают ощущать себя как единое целое, что позволяет им обсудить все актуальные вопросы и разработать план действий.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Требования к проведению ТОП минимальны, но очень важны, еще более важно понимание необходимости соблюдения определённого алгоритма действий: стадия вызова, постановка проблемы, поиск решений и предъявление результата.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lastRenderedPageBreak/>
        <w:t>Эффективность ТОП обеспечивается несколькими существенными условиями: личной заинтересованностью, личной ответственностью и свободой выбора участников семинара. В действительности, проектные решения, разработанные при использовании этой технологии, носят реалистичный, перспективный и подробный характер и зачастую могут работать гораздо эффективнее, чем планы, созданные экспертами или управленцами.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Отдельный интерес представляет возможность перехода школы через семинары ТОП к новому типу функционирования – режиму развития. Это переход в статус «обучающейся организации».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«Обучающаяся организация» имеет конкретные формы работы и организационную структуру, четкое ядро и направленность, позволяющие заниматься решением реальных задач, ее педагоги постоянно стремятся к поиску новых форм, отметая старые.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У нашей школы есть миссия и цель, мы интерактивны, так как они постоянно ищем дополнительные возможности, чтобы расти и развиваться. Более того, обучающаяся организация – это новая форма организации. Для того чтобы школа оставалась интерактивной «обучающейся», ей необходимо совершить радикальное нелинейное изменение. Именно здесь ТОП может сыграть важную роль.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Следует понимать, что ТОП не нова и доказала свою эффективность. На протяжении более чем двадцати лет метод «Открытого пространства» помогает создать организации с творческой атмосферой, открывая возможности для потенциальных лидеров: рядовые сотрудники, объединяя свои усилия, с неизменной регулярностью получают выдающиеся результаты.</w:t>
      </w:r>
    </w:p>
    <w:p w:rsidR="005B4AD5" w:rsidRPr="005B4AD5" w:rsidRDefault="005B4AD5" w:rsidP="0083692E">
      <w:pPr>
        <w:shd w:val="clear" w:color="auto" w:fill="FFFFFF"/>
        <w:spacing w:after="100" w:afterAutospacing="1"/>
        <w:ind w:firstLine="0"/>
        <w:jc w:val="both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При организации методической работы ТОП имеет огромный потенциал и широкий формат для использования. Кроме того, такой формат </w:t>
      </w:r>
      <w:proofErr w:type="spellStart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коллаборации</w:t>
      </w:r>
      <w:proofErr w:type="spellEnd"/>
      <w:r w:rsidRPr="005B4AD5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отражает тенденции времени, в котором мы живем.</w:t>
      </w:r>
    </w:p>
    <w:p w:rsidR="00F61440" w:rsidRDefault="00F61440" w:rsidP="005E3839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2755C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lastRenderedPageBreak/>
        <w:t>Приложение</w:t>
      </w:r>
    </w:p>
    <w:p w:rsidR="00954FEF" w:rsidRPr="00FB6E4B" w:rsidRDefault="00FD0D9F" w:rsidP="00FB6E4B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lang w:eastAsia="ru-RU"/>
        </w:rPr>
      </w:pPr>
      <w:r w:rsidRPr="00FB6E4B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Pr="00FB6E4B">
        <w:rPr>
          <w:rFonts w:ascii="Times New Roman" w:hAnsi="Times New Roman" w:cs="Times New Roman"/>
          <w:sz w:val="28"/>
        </w:rPr>
        <w:t>haring</w:t>
      </w:r>
      <w:proofErr w:type="spellEnd"/>
      <w:r w:rsidRPr="00FB6E4B">
        <w:rPr>
          <w:rFonts w:ascii="Times New Roman" w:hAnsi="Times New Roman" w:cs="Times New Roman"/>
          <w:sz w:val="28"/>
        </w:rPr>
        <w:t>-мероприятия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0"/>
        <w:gridCol w:w="2078"/>
        <w:gridCol w:w="3003"/>
        <w:gridCol w:w="1515"/>
        <w:gridCol w:w="1636"/>
      </w:tblGrid>
      <w:tr w:rsidR="00FB6E4B" w:rsidRPr="00FB6E4B" w:rsidTr="00954FEF">
        <w:tc>
          <w:tcPr>
            <w:tcW w:w="1271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суть</w:t>
            </w:r>
          </w:p>
        </w:tc>
        <w:tc>
          <w:tcPr>
            <w:tcW w:w="3402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432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длительность</w:t>
            </w:r>
          </w:p>
        </w:tc>
        <w:tc>
          <w:tcPr>
            <w:tcW w:w="1681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Применение</w:t>
            </w:r>
          </w:p>
        </w:tc>
      </w:tr>
      <w:tr w:rsidR="00FB6E4B" w:rsidRPr="00FB6E4B" w:rsidTr="00954FEF">
        <w:tc>
          <w:tcPr>
            <w:tcW w:w="1271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Аквариум</w:t>
            </w:r>
          </w:p>
        </w:tc>
        <w:tc>
          <w:tcPr>
            <w:tcW w:w="2126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Небольшая группа людей обсуждает какую-то горячую тему перед большой аудиторией.</w:t>
            </w:r>
          </w:p>
        </w:tc>
        <w:tc>
          <w:tcPr>
            <w:tcW w:w="3402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Чтобы создать «аквариум», поставьте в круг 5-8 стульев.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Для аудитории разместите стулья в виде концентрических кругов вокруг аквариума.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Выберите участников дискуссии и рассадите их во внутреннем круге.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Модератор объявляет тему обсуждения, и внутренний круг его начинает.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 «открытом» варианте аквариума часть стульев внутреннего круга остается незанятыми, и любой человек из большой аудитории может занять это место и присоединиться к дискуссии.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 «закрытом» варианте участники обсуждения остаются внутри круга, пока оно не закончится. Когда время выйдет, они покидают аквариум, а представители аудитории из большого круга занимают их места и начинают дискуссию.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около 1,5 часов</w:t>
            </w:r>
          </w:p>
        </w:tc>
        <w:tc>
          <w:tcPr>
            <w:tcW w:w="1681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Дебаты</w:t>
            </w:r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  <w:t>Панельная дискуссия</w:t>
            </w:r>
          </w:p>
        </w:tc>
      </w:tr>
      <w:tr w:rsidR="00954FEF" w:rsidRPr="00FB6E4B" w:rsidTr="00954FEF">
        <w:tc>
          <w:tcPr>
            <w:tcW w:w="1271" w:type="dxa"/>
          </w:tcPr>
          <w:p w:rsidR="00954FEF" w:rsidRPr="00FB6E4B" w:rsidRDefault="00954FEF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proofErr w:type="spellStart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PechaKucha</w:t>
            </w:r>
            <w:proofErr w:type="spellEnd"/>
          </w:p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4FEF" w:rsidRPr="00FB6E4B" w:rsidRDefault="00954FEF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способ презентации, в котором нужно успеть представить 20 слайдов за 20 секунд каждый</w:t>
            </w: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(всего 6 минут 40 секунд).</w:t>
            </w:r>
          </w:p>
        </w:tc>
        <w:tc>
          <w:tcPr>
            <w:tcW w:w="3402" w:type="dxa"/>
          </w:tcPr>
          <w:p w:rsidR="00954FEF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Обычно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PechaKucha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состоит из 8-14 отдельных презентаций. В каждой из них должно быть максимум 20 слайдов, каждый из которых должен быть представлен максимум за 20 секунд.</w:t>
            </w:r>
          </w:p>
        </w:tc>
        <w:tc>
          <w:tcPr>
            <w:tcW w:w="1432" w:type="dxa"/>
          </w:tcPr>
          <w:p w:rsidR="00954FEF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около 1,5 часов</w:t>
            </w:r>
          </w:p>
        </w:tc>
        <w:tc>
          <w:tcPr>
            <w:tcW w:w="1681" w:type="dxa"/>
          </w:tcPr>
          <w:p w:rsidR="00954FEF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Альтернатива традиционным презентациям</w:t>
            </w:r>
          </w:p>
        </w:tc>
      </w:tr>
      <w:tr w:rsidR="00FB6E4B" w:rsidRPr="00FB6E4B" w:rsidTr="00954FEF">
        <w:tc>
          <w:tcPr>
            <w:tcW w:w="1271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proofErr w:type="spellStart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Неконференции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Unconference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)</w:t>
            </w:r>
          </w:p>
          <w:p w:rsidR="00FB6E4B" w:rsidRPr="00FB6E4B" w:rsidRDefault="00FB6E4B" w:rsidP="00954FEF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B6E4B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содействие обмену опытом и знаниями. Перед основным мероприятием все участники собираются вместе и обсуждают свои дальнейшие действия в формате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Open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Space</w:t>
            </w:r>
            <w:proofErr w:type="spellEnd"/>
          </w:p>
        </w:tc>
        <w:tc>
          <w:tcPr>
            <w:tcW w:w="3402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неконференций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достаточно найти подходящие место и тему для обсуждения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Соберите вместе участников дискуссии, расскажите им о теме и предоставьте им возможность самим придумать продолжение встречи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Каждый создатель сессии в праве выбрать для нее место и формат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Каждый участник может спокойно перемещаться от одной сессии к другой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Желательно, чтобы у создателя сессии была доска для записей, проектор, карандаши и бумага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Участники не должны быть равномерно распределены между сессиями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lastRenderedPageBreak/>
              <w:t>У каждой сессии должно быть ограниченное время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В конце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неконференции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соберите участников вместе и предложите им ряд подарков. Пусть каждый выберет один подарок для участника, который за время сессий больше всего его заслужил. Попросите аргументировать свой выбор.</w:t>
            </w:r>
          </w:p>
          <w:p w:rsidR="00FB6E4B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lastRenderedPageBreak/>
              <w:t>1 день</w:t>
            </w:r>
          </w:p>
          <w:p w:rsidR="00FB6E4B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Чтобы сделать атмосферу более неформальной</w:t>
            </w:r>
          </w:p>
          <w:p w:rsidR="00FB6E4B" w:rsidRPr="00FB6E4B" w:rsidRDefault="00FB6E4B" w:rsidP="00954FEF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</w:tr>
      <w:tr w:rsidR="00FB6E4B" w:rsidRPr="00FB6E4B" w:rsidTr="00954FEF">
        <w:tc>
          <w:tcPr>
            <w:tcW w:w="1271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proofErr w:type="spellStart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lastRenderedPageBreak/>
              <w:t>World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Café</w:t>
            </w:r>
            <w:proofErr w:type="spellEnd"/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Это формат встреч, который представляет собой структурированный процесс общения, обогащаемый знаниями участников</w:t>
            </w:r>
          </w:p>
        </w:tc>
        <w:tc>
          <w:tcPr>
            <w:tcW w:w="3402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Выберите неформальное место для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World</w:t>
            </w:r>
            <w:proofErr w:type="spellEnd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Café</w:t>
            </w:r>
            <w:proofErr w:type="spellEnd"/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Подготовьте 4-5 круглых столов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Следует запастись ручками, маркерами, бумагой и другой канцелярией, чтобы стимулировать творческое обсуждение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Тепло поприветствуйте всех участников вначале и ясно объясните тему и контекст обсуждения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Разделите участников по группам и начните первый раунд дискуссий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Каждый раунд должен длиться 20 минут. После раунда группы обмениваются одним участником. Каждому кратко рассказывается итог предыдущего обсуждения.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После пары раундов представитель каждой группы делится перед всеми участниками той информацией, которую он получил в своей группе.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несколько часов</w:t>
            </w:r>
          </w:p>
        </w:tc>
        <w:tc>
          <w:tcPr>
            <w:tcW w:w="1681" w:type="dxa"/>
          </w:tcPr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Для участников, которые разделяют общие интересы или хотят решить общую проблему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Для мероприятий, где необходим обмен знаниями между участниками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Чтобы предсказать будущие тренды в определенном контексте</w:t>
            </w:r>
          </w:p>
          <w:p w:rsidR="00FB6E4B" w:rsidRPr="00FB6E4B" w:rsidRDefault="00FB6E4B" w:rsidP="00FB6E4B">
            <w:pPr>
              <w:pStyle w:val="a8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Чтобы решить вопросы в неформальной обстановке</w:t>
            </w:r>
          </w:p>
        </w:tc>
      </w:tr>
    </w:tbl>
    <w:p w:rsidR="00FD0D9F" w:rsidRPr="00FD0D9F" w:rsidRDefault="00FD0D9F" w:rsidP="00954FEF">
      <w:pPr>
        <w:pStyle w:val="a8"/>
        <w:rPr>
          <w:rFonts w:eastAsia="Times New Roman"/>
          <w:b/>
          <w:bCs/>
          <w:i/>
          <w:iCs/>
          <w:color w:val="212529"/>
          <w:lang w:eastAsia="ru-RU"/>
        </w:rPr>
      </w:pPr>
    </w:p>
    <w:p w:rsidR="00A84730" w:rsidRPr="002755C9" w:rsidRDefault="00A84730" w:rsidP="00954FEF">
      <w:pPr>
        <w:pStyle w:val="a8"/>
        <w:rPr>
          <w:rFonts w:eastAsia="Times New Roman"/>
          <w:color w:val="282828"/>
          <w:lang w:eastAsia="ru-RU"/>
        </w:rPr>
      </w:pPr>
      <w:r w:rsidRPr="002755C9">
        <w:rPr>
          <w:rFonts w:eastAsia="Times New Roman"/>
          <w:color w:val="282828"/>
          <w:lang w:eastAsia="ru-RU"/>
        </w:rPr>
        <w:t> </w:t>
      </w:r>
    </w:p>
    <w:p w:rsidR="00A84730" w:rsidRDefault="00A84730" w:rsidP="00954FEF">
      <w:pPr>
        <w:pStyle w:val="a8"/>
        <w:rPr>
          <w:rFonts w:eastAsia="Times New Roman"/>
          <w:color w:val="2828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74"/>
      </w:tblGrid>
      <w:tr w:rsidR="005E3839" w:rsidTr="000034FA">
        <w:tc>
          <w:tcPr>
            <w:tcW w:w="4956" w:type="dxa"/>
          </w:tcPr>
          <w:p w:rsid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53D10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7920DA88" wp14:editId="7C6C8884">
                  <wp:extent cx="2951543" cy="2179320"/>
                  <wp:effectExtent l="0" t="0" r="1270" b="0"/>
                  <wp:docPr id="1" name="Рисунок 1" descr="C:\Users\Учитель\Downloads\Главн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Главн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35" cy="218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E3839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42C6E006" wp14:editId="628D1E72">
                  <wp:extent cx="2964180" cy="2186704"/>
                  <wp:effectExtent l="0" t="0" r="7620" b="4445"/>
                  <wp:docPr id="6" name="Рисунок 6" descr="C:\Users\Учитель\Downloads\Глав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wnloads\Главное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70" r="6640"/>
                          <a:stretch/>
                        </pic:blipFill>
                        <pic:spPr bwMode="auto">
                          <a:xfrm>
                            <a:off x="0" y="0"/>
                            <a:ext cx="2974592" cy="21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39" w:rsidTr="000034FA">
        <w:tc>
          <w:tcPr>
            <w:tcW w:w="4956" w:type="dxa"/>
          </w:tcPr>
          <w:p w:rsid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E3839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1AA26A" wp14:editId="04D5B67F">
                  <wp:extent cx="2894742" cy="2171700"/>
                  <wp:effectExtent l="0" t="0" r="1270" b="0"/>
                  <wp:docPr id="5" name="Рисунок 5" descr="C:\Users\Учитель\Downloads\изображение_viber_2022-10-14_10-45-27-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wnloads\изображение_viber_2022-10-14_10-45-27-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582" cy="219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E3839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7AAA705A" wp14:editId="77A528EC">
                  <wp:extent cx="2872740" cy="2155825"/>
                  <wp:effectExtent l="0" t="0" r="3810" b="0"/>
                  <wp:docPr id="4" name="Рисунок 4" descr="C:\Users\Учитель\Downloads\изображение_viber_2022-10-14_10-45-27-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изображение_viber_2022-10-14_10-45-27-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664" cy="217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39" w:rsidTr="000034FA">
        <w:tc>
          <w:tcPr>
            <w:tcW w:w="4956" w:type="dxa"/>
          </w:tcPr>
          <w:p w:rsidR="005E3839" w:rsidRP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5E3839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1397B1A0" wp14:editId="3D85F488">
                  <wp:extent cx="2904900" cy="2179320"/>
                  <wp:effectExtent l="0" t="0" r="0" b="0"/>
                  <wp:docPr id="3" name="Рисунок 3" descr="C:\Users\Учитель\Downloads\изображение_viber_2022-10-14_10-45-26-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изображение_viber_2022-10-14_10-45-26-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4" cy="219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5E3839" w:rsidRPr="005E3839" w:rsidRDefault="005E3839" w:rsidP="005E38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</w:pPr>
            <w:r w:rsidRPr="005E3839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6FD329C4" wp14:editId="12F64322">
                  <wp:extent cx="2948197" cy="2171700"/>
                  <wp:effectExtent l="0" t="0" r="5080" b="0"/>
                  <wp:docPr id="2" name="Рисунок 2" descr="C:\Users\Учитель\Downloads\Глав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Глав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809" cy="218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440" w:rsidRPr="002755C9" w:rsidRDefault="005E3839" w:rsidP="002755C9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38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F717CD" w:rsidRPr="002755C9" w:rsidRDefault="00F717CD" w:rsidP="002755C9">
      <w:pPr>
        <w:rPr>
          <w:rFonts w:ascii="Times New Roman" w:hAnsi="Times New Roman" w:cs="Times New Roman"/>
          <w:sz w:val="28"/>
          <w:szCs w:val="28"/>
        </w:rPr>
      </w:pPr>
    </w:p>
    <w:sectPr w:rsidR="00F717CD" w:rsidRPr="002755C9" w:rsidSect="00FA0BD6">
      <w:footerReference w:type="default" r:id="rId14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E0" w:rsidRDefault="00AB38E0" w:rsidP="000D53E3">
      <w:pPr>
        <w:spacing w:after="0" w:line="240" w:lineRule="auto"/>
      </w:pPr>
      <w:r>
        <w:separator/>
      </w:r>
    </w:p>
  </w:endnote>
  <w:endnote w:type="continuationSeparator" w:id="0">
    <w:p w:rsidR="00AB38E0" w:rsidRDefault="00AB38E0" w:rsidP="000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6711"/>
      <w:docPartObj>
        <w:docPartGallery w:val="Page Numbers (Bottom of Page)"/>
        <w:docPartUnique/>
      </w:docPartObj>
    </w:sdtPr>
    <w:sdtEndPr/>
    <w:sdtContent>
      <w:p w:rsidR="005E3839" w:rsidRDefault="005E38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4B">
          <w:rPr>
            <w:noProof/>
          </w:rPr>
          <w:t>2</w:t>
        </w:r>
        <w:r>
          <w:fldChar w:fldCharType="end"/>
        </w:r>
      </w:p>
    </w:sdtContent>
  </w:sdt>
  <w:p w:rsidR="000D53E3" w:rsidRDefault="000D5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E0" w:rsidRDefault="00AB38E0" w:rsidP="000D53E3">
      <w:pPr>
        <w:spacing w:after="0" w:line="240" w:lineRule="auto"/>
      </w:pPr>
      <w:r>
        <w:separator/>
      </w:r>
    </w:p>
  </w:footnote>
  <w:footnote w:type="continuationSeparator" w:id="0">
    <w:p w:rsidR="00AB38E0" w:rsidRDefault="00AB38E0" w:rsidP="000D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0F1"/>
    <w:multiLevelType w:val="hybridMultilevel"/>
    <w:tmpl w:val="7DE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836"/>
    <w:multiLevelType w:val="multilevel"/>
    <w:tmpl w:val="0BB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1C9D"/>
    <w:multiLevelType w:val="multilevel"/>
    <w:tmpl w:val="E1A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51D3B"/>
    <w:multiLevelType w:val="multilevel"/>
    <w:tmpl w:val="4B5C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D3D4C"/>
    <w:multiLevelType w:val="multilevel"/>
    <w:tmpl w:val="A27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82E6B"/>
    <w:multiLevelType w:val="multilevel"/>
    <w:tmpl w:val="F3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82350"/>
    <w:multiLevelType w:val="multilevel"/>
    <w:tmpl w:val="EEB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B672E"/>
    <w:multiLevelType w:val="multilevel"/>
    <w:tmpl w:val="516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02D2E"/>
    <w:multiLevelType w:val="multilevel"/>
    <w:tmpl w:val="D4A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510E6"/>
    <w:multiLevelType w:val="multilevel"/>
    <w:tmpl w:val="D88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E6CD5"/>
    <w:multiLevelType w:val="multilevel"/>
    <w:tmpl w:val="DCD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410E3"/>
    <w:multiLevelType w:val="multilevel"/>
    <w:tmpl w:val="FF0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63193"/>
    <w:multiLevelType w:val="multilevel"/>
    <w:tmpl w:val="38F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A1234"/>
    <w:multiLevelType w:val="multilevel"/>
    <w:tmpl w:val="F08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C604D"/>
    <w:multiLevelType w:val="multilevel"/>
    <w:tmpl w:val="495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F21EF"/>
    <w:multiLevelType w:val="hybridMultilevel"/>
    <w:tmpl w:val="5440A0A4"/>
    <w:lvl w:ilvl="0" w:tplc="4938772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62067"/>
    <w:multiLevelType w:val="multilevel"/>
    <w:tmpl w:val="7BF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B181B"/>
    <w:multiLevelType w:val="multilevel"/>
    <w:tmpl w:val="EA0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30"/>
    <w:rsid w:val="000034FA"/>
    <w:rsid w:val="000D53E3"/>
    <w:rsid w:val="00234446"/>
    <w:rsid w:val="002755C9"/>
    <w:rsid w:val="002A3283"/>
    <w:rsid w:val="003C1D65"/>
    <w:rsid w:val="003F28E7"/>
    <w:rsid w:val="005A1E77"/>
    <w:rsid w:val="005B4AD5"/>
    <w:rsid w:val="005E2C49"/>
    <w:rsid w:val="005E3839"/>
    <w:rsid w:val="00712446"/>
    <w:rsid w:val="00771D27"/>
    <w:rsid w:val="0083692E"/>
    <w:rsid w:val="00837359"/>
    <w:rsid w:val="008703ED"/>
    <w:rsid w:val="00954FEF"/>
    <w:rsid w:val="00A41D4C"/>
    <w:rsid w:val="00A53D10"/>
    <w:rsid w:val="00A84730"/>
    <w:rsid w:val="00AB38E0"/>
    <w:rsid w:val="00AB7554"/>
    <w:rsid w:val="00BE3B46"/>
    <w:rsid w:val="00C26AF3"/>
    <w:rsid w:val="00CF5020"/>
    <w:rsid w:val="00D77E5B"/>
    <w:rsid w:val="00D94B02"/>
    <w:rsid w:val="00E204D7"/>
    <w:rsid w:val="00F61440"/>
    <w:rsid w:val="00F717CD"/>
    <w:rsid w:val="00FA0BD6"/>
    <w:rsid w:val="00FB6E4B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C6C4"/>
  <w15:chartTrackingRefBased/>
  <w15:docId w15:val="{45ADEB92-853E-480C-9909-A979FDA7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D6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3E3"/>
  </w:style>
  <w:style w:type="paragraph" w:styleId="a5">
    <w:name w:val="footer"/>
    <w:basedOn w:val="a"/>
    <w:link w:val="a6"/>
    <w:uiPriority w:val="99"/>
    <w:unhideWhenUsed/>
    <w:rsid w:val="000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3E3"/>
  </w:style>
  <w:style w:type="character" w:customStyle="1" w:styleId="40">
    <w:name w:val="Заголовок 4 Знак"/>
    <w:basedOn w:val="a0"/>
    <w:link w:val="4"/>
    <w:uiPriority w:val="9"/>
    <w:semiHidden/>
    <w:rsid w:val="003C1D65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7">
    <w:name w:val="Normal (Web)"/>
    <w:basedOn w:val="a"/>
    <w:uiPriority w:val="99"/>
    <w:unhideWhenUsed/>
    <w:rsid w:val="003C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1D65"/>
    <w:pPr>
      <w:spacing w:after="0" w:line="240" w:lineRule="auto"/>
    </w:pPr>
  </w:style>
  <w:style w:type="table" w:styleId="a9">
    <w:name w:val="Table Grid"/>
    <w:basedOn w:val="a1"/>
    <w:uiPriority w:val="39"/>
    <w:rsid w:val="005E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0BD6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E2C49"/>
  </w:style>
  <w:style w:type="character" w:customStyle="1" w:styleId="10">
    <w:name w:val="Стиль1 Знак"/>
    <w:basedOn w:val="a0"/>
    <w:link w:val="1"/>
    <w:rsid w:val="005E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6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8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88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146">
              <w:marLeft w:val="0"/>
              <w:marRight w:val="-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6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7A2B-D01C-4ADB-9CEF-54E4D34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2022-12-21T08:46:00Z</dcterms:created>
  <dcterms:modified xsi:type="dcterms:W3CDTF">2022-12-22T08:40:00Z</dcterms:modified>
</cp:coreProperties>
</file>